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CED" w:rsidRDefault="00F05CED" w:rsidP="00F05CED">
      <w:pPr>
        <w:rPr>
          <w:sz w:val="24"/>
          <w:szCs w:val="24"/>
        </w:rPr>
      </w:pPr>
      <w:r w:rsidRPr="00EE1C00">
        <w:rPr>
          <w:b/>
          <w:sz w:val="24"/>
          <w:szCs w:val="24"/>
        </w:rPr>
        <w:t>DOMAIN:</w:t>
      </w:r>
      <w:r>
        <w:rPr>
          <w:sz w:val="24"/>
          <w:szCs w:val="24"/>
        </w:rPr>
        <w:t xml:space="preserve"> </w:t>
      </w:r>
      <w:r w:rsidRPr="00525C01">
        <w:rPr>
          <w:sz w:val="24"/>
          <w:szCs w:val="24"/>
        </w:rPr>
        <w:t xml:space="preserve">Healthy and </w:t>
      </w:r>
      <w:proofErr w:type="spellStart"/>
      <w:r w:rsidRPr="00525C01">
        <w:rPr>
          <w:sz w:val="24"/>
          <w:szCs w:val="24"/>
        </w:rPr>
        <w:t>Prosocial</w:t>
      </w:r>
      <w:proofErr w:type="spellEnd"/>
      <w:r w:rsidRPr="00525C01">
        <w:rPr>
          <w:sz w:val="24"/>
          <w:szCs w:val="24"/>
        </w:rPr>
        <w:t xml:space="preserve"> Behavior</w:t>
      </w:r>
    </w:p>
    <w:p w:rsidR="00F05CED" w:rsidRPr="00EE1C00" w:rsidRDefault="00F05CED" w:rsidP="00F05CED">
      <w:pPr>
        <w:rPr>
          <w:sz w:val="24"/>
          <w:szCs w:val="24"/>
        </w:rPr>
      </w:pPr>
      <w:r w:rsidRPr="00EE1C00">
        <w:rPr>
          <w:b/>
          <w:sz w:val="24"/>
          <w:szCs w:val="24"/>
        </w:rPr>
        <w:t>OUTCOME:</w:t>
      </w:r>
      <w:r w:rsidRPr="00EE1C00">
        <w:rPr>
          <w:sz w:val="24"/>
          <w:szCs w:val="24"/>
        </w:rPr>
        <w:t xml:space="preserve"> </w:t>
      </w:r>
      <w:r>
        <w:rPr>
          <w:sz w:val="24"/>
          <w:szCs w:val="24"/>
        </w:rPr>
        <w:t>Physical Activity</w:t>
      </w:r>
    </w:p>
    <w:p w:rsidR="00F05CED" w:rsidRDefault="00F05CED" w:rsidP="00F05CED">
      <w:pPr>
        <w:rPr>
          <w:sz w:val="24"/>
          <w:szCs w:val="24"/>
        </w:rPr>
      </w:pPr>
      <w:r w:rsidRPr="00EE1C00">
        <w:rPr>
          <w:b/>
          <w:sz w:val="24"/>
          <w:szCs w:val="24"/>
        </w:rPr>
        <w:t xml:space="preserve">MEASURE: </w:t>
      </w:r>
      <w:r w:rsidRPr="00EE1C00">
        <w:rPr>
          <w:sz w:val="24"/>
          <w:szCs w:val="24"/>
        </w:rPr>
        <w:t>Youth Risk Behavior Survey (YRBS) – physical activity item</w:t>
      </w:r>
    </w:p>
    <w:p w:rsidR="00F05CED" w:rsidRDefault="00F05CED" w:rsidP="00F05CED">
      <w:pPr>
        <w:rPr>
          <w:sz w:val="24"/>
          <w:szCs w:val="24"/>
        </w:rPr>
      </w:pPr>
    </w:p>
    <w:tbl>
      <w:tblPr>
        <w:tblStyle w:val="TableGrid"/>
        <w:tblW w:w="0" w:type="auto"/>
        <w:tblLook w:val="04A0"/>
      </w:tblPr>
      <w:tblGrid>
        <w:gridCol w:w="1278"/>
        <w:gridCol w:w="7830"/>
      </w:tblGrid>
      <w:tr w:rsidR="00F05CED" w:rsidTr="00D814AC">
        <w:trPr>
          <w:trHeight w:val="1043"/>
        </w:trPr>
        <w:tc>
          <w:tcPr>
            <w:tcW w:w="9108" w:type="dxa"/>
            <w:gridSpan w:val="2"/>
            <w:vAlign w:val="center"/>
          </w:tcPr>
          <w:p w:rsidR="00F05CED" w:rsidRDefault="00F05CED" w:rsidP="00D814AC">
            <w:pPr>
              <w:rPr>
                <w:sz w:val="24"/>
                <w:szCs w:val="24"/>
              </w:rPr>
            </w:pPr>
            <w:r>
              <w:rPr>
                <w:sz w:val="24"/>
                <w:szCs w:val="24"/>
              </w:rPr>
              <w:t>During the past 7 days, on how many days were you physically active for a total of at least 60 minutes per day? (Add up all the time you spent in any kind of physical activity that increased your heart rate and made you breathe hard some of the time.)</w:t>
            </w:r>
          </w:p>
        </w:tc>
      </w:tr>
      <w:tr w:rsidR="00F05CED" w:rsidTr="00D814AC">
        <w:tc>
          <w:tcPr>
            <w:tcW w:w="1278" w:type="dxa"/>
          </w:tcPr>
          <w:p w:rsidR="00F05CED" w:rsidRPr="00C31B02" w:rsidRDefault="00F05CED" w:rsidP="00D814AC">
            <w:pPr>
              <w:pStyle w:val="Default"/>
              <w:jc w:val="center"/>
              <w:rPr>
                <w:rFonts w:asciiTheme="minorHAnsi" w:hAnsiTheme="minorHAnsi"/>
                <w:sz w:val="40"/>
                <w:szCs w:val="40"/>
              </w:rPr>
            </w:pPr>
            <w:r w:rsidRPr="00765728">
              <w:rPr>
                <w:rFonts w:asciiTheme="minorHAnsi" w:hAnsiTheme="minorHAnsi"/>
                <w:sz w:val="40"/>
                <w:szCs w:val="40"/>
              </w:rPr>
              <w:t>□</w:t>
            </w:r>
          </w:p>
        </w:tc>
        <w:tc>
          <w:tcPr>
            <w:tcW w:w="7830" w:type="dxa"/>
            <w:vAlign w:val="center"/>
          </w:tcPr>
          <w:p w:rsidR="00F05CED" w:rsidRPr="004E5E1D" w:rsidRDefault="00F05CED" w:rsidP="00D814AC">
            <w:pPr>
              <w:pStyle w:val="Default"/>
              <w:rPr>
                <w:rFonts w:asciiTheme="minorHAnsi" w:hAnsiTheme="minorHAnsi"/>
                <w:sz w:val="22"/>
                <w:szCs w:val="22"/>
              </w:rPr>
            </w:pPr>
            <w:r w:rsidRPr="004E5E1D">
              <w:rPr>
                <w:rFonts w:asciiTheme="minorHAnsi" w:hAnsiTheme="minorHAnsi"/>
                <w:sz w:val="22"/>
                <w:szCs w:val="22"/>
              </w:rPr>
              <w:t>0 days</w:t>
            </w:r>
          </w:p>
        </w:tc>
      </w:tr>
      <w:tr w:rsidR="00F05CED" w:rsidTr="00D814AC">
        <w:tc>
          <w:tcPr>
            <w:tcW w:w="1278" w:type="dxa"/>
          </w:tcPr>
          <w:p w:rsidR="00F05CED" w:rsidRPr="00C31B02" w:rsidRDefault="00F05CED" w:rsidP="00D814AC">
            <w:pPr>
              <w:pStyle w:val="Default"/>
              <w:jc w:val="center"/>
              <w:rPr>
                <w:rFonts w:asciiTheme="minorHAnsi" w:hAnsiTheme="minorHAnsi"/>
                <w:sz w:val="40"/>
                <w:szCs w:val="40"/>
              </w:rPr>
            </w:pPr>
            <w:r w:rsidRPr="00765728">
              <w:rPr>
                <w:rFonts w:asciiTheme="minorHAnsi" w:hAnsiTheme="minorHAnsi"/>
                <w:sz w:val="40"/>
                <w:szCs w:val="40"/>
              </w:rPr>
              <w:t>□</w:t>
            </w:r>
          </w:p>
        </w:tc>
        <w:tc>
          <w:tcPr>
            <w:tcW w:w="7830" w:type="dxa"/>
            <w:vAlign w:val="center"/>
          </w:tcPr>
          <w:p w:rsidR="00F05CED" w:rsidRPr="004E5E1D" w:rsidRDefault="00F05CED" w:rsidP="00D814AC">
            <w:pPr>
              <w:pStyle w:val="Default"/>
              <w:rPr>
                <w:rFonts w:asciiTheme="minorHAnsi" w:hAnsiTheme="minorHAnsi"/>
                <w:sz w:val="22"/>
                <w:szCs w:val="22"/>
              </w:rPr>
            </w:pPr>
            <w:r w:rsidRPr="004E5E1D">
              <w:rPr>
                <w:rFonts w:asciiTheme="minorHAnsi" w:hAnsiTheme="minorHAnsi"/>
                <w:sz w:val="22"/>
                <w:szCs w:val="22"/>
              </w:rPr>
              <w:t>1 day</w:t>
            </w:r>
          </w:p>
        </w:tc>
      </w:tr>
      <w:tr w:rsidR="00F05CED" w:rsidTr="00D814AC">
        <w:tc>
          <w:tcPr>
            <w:tcW w:w="1278" w:type="dxa"/>
          </w:tcPr>
          <w:p w:rsidR="00F05CED" w:rsidRPr="00C31B02" w:rsidRDefault="00F05CED" w:rsidP="00D814AC">
            <w:pPr>
              <w:pStyle w:val="Default"/>
              <w:jc w:val="center"/>
              <w:rPr>
                <w:rFonts w:asciiTheme="minorHAnsi" w:hAnsiTheme="minorHAnsi"/>
                <w:sz w:val="40"/>
                <w:szCs w:val="40"/>
              </w:rPr>
            </w:pPr>
            <w:r w:rsidRPr="00765728">
              <w:rPr>
                <w:rFonts w:asciiTheme="minorHAnsi" w:hAnsiTheme="minorHAnsi"/>
                <w:sz w:val="40"/>
                <w:szCs w:val="40"/>
              </w:rPr>
              <w:t>□</w:t>
            </w:r>
          </w:p>
        </w:tc>
        <w:tc>
          <w:tcPr>
            <w:tcW w:w="7830" w:type="dxa"/>
            <w:vAlign w:val="center"/>
          </w:tcPr>
          <w:p w:rsidR="00F05CED" w:rsidRPr="004E5E1D" w:rsidRDefault="00F05CED" w:rsidP="00D814AC">
            <w:pPr>
              <w:pStyle w:val="Default"/>
              <w:rPr>
                <w:rFonts w:asciiTheme="minorHAnsi" w:hAnsiTheme="minorHAnsi"/>
                <w:sz w:val="22"/>
                <w:szCs w:val="22"/>
              </w:rPr>
            </w:pPr>
            <w:r w:rsidRPr="004E5E1D">
              <w:rPr>
                <w:rFonts w:asciiTheme="minorHAnsi" w:hAnsiTheme="minorHAnsi"/>
                <w:sz w:val="22"/>
                <w:szCs w:val="22"/>
              </w:rPr>
              <w:t>2 days</w:t>
            </w:r>
          </w:p>
        </w:tc>
      </w:tr>
      <w:tr w:rsidR="00F05CED" w:rsidTr="00D814AC">
        <w:tc>
          <w:tcPr>
            <w:tcW w:w="1278" w:type="dxa"/>
          </w:tcPr>
          <w:p w:rsidR="00F05CED" w:rsidRPr="00C31B02" w:rsidRDefault="00F05CED" w:rsidP="00D814AC">
            <w:pPr>
              <w:pStyle w:val="Default"/>
              <w:jc w:val="center"/>
              <w:rPr>
                <w:rFonts w:asciiTheme="minorHAnsi" w:hAnsiTheme="minorHAnsi"/>
                <w:sz w:val="40"/>
                <w:szCs w:val="40"/>
              </w:rPr>
            </w:pPr>
            <w:r w:rsidRPr="00765728">
              <w:rPr>
                <w:rFonts w:asciiTheme="minorHAnsi" w:hAnsiTheme="minorHAnsi"/>
                <w:sz w:val="40"/>
                <w:szCs w:val="40"/>
              </w:rPr>
              <w:t>□</w:t>
            </w:r>
          </w:p>
        </w:tc>
        <w:tc>
          <w:tcPr>
            <w:tcW w:w="7830" w:type="dxa"/>
            <w:vAlign w:val="center"/>
          </w:tcPr>
          <w:p w:rsidR="00F05CED" w:rsidRPr="004E5E1D" w:rsidRDefault="00F05CED" w:rsidP="00D814AC">
            <w:pPr>
              <w:pStyle w:val="Default"/>
              <w:rPr>
                <w:rFonts w:asciiTheme="minorHAnsi" w:hAnsiTheme="minorHAnsi"/>
                <w:sz w:val="22"/>
                <w:szCs w:val="22"/>
              </w:rPr>
            </w:pPr>
            <w:r w:rsidRPr="004E5E1D">
              <w:rPr>
                <w:rFonts w:asciiTheme="minorHAnsi" w:hAnsiTheme="minorHAnsi"/>
                <w:sz w:val="22"/>
                <w:szCs w:val="22"/>
              </w:rPr>
              <w:t>3 days</w:t>
            </w:r>
          </w:p>
        </w:tc>
      </w:tr>
      <w:tr w:rsidR="00F05CED" w:rsidTr="00D814AC">
        <w:tc>
          <w:tcPr>
            <w:tcW w:w="1278" w:type="dxa"/>
          </w:tcPr>
          <w:p w:rsidR="00F05CED" w:rsidRPr="00C31B02" w:rsidRDefault="00F05CED" w:rsidP="00D814AC">
            <w:pPr>
              <w:pStyle w:val="Default"/>
              <w:jc w:val="center"/>
              <w:rPr>
                <w:rFonts w:asciiTheme="minorHAnsi" w:hAnsiTheme="minorHAnsi"/>
                <w:sz w:val="40"/>
                <w:szCs w:val="40"/>
              </w:rPr>
            </w:pPr>
            <w:r w:rsidRPr="00765728">
              <w:rPr>
                <w:rFonts w:asciiTheme="minorHAnsi" w:hAnsiTheme="minorHAnsi"/>
                <w:sz w:val="40"/>
                <w:szCs w:val="40"/>
              </w:rPr>
              <w:t>□</w:t>
            </w:r>
          </w:p>
        </w:tc>
        <w:tc>
          <w:tcPr>
            <w:tcW w:w="7830" w:type="dxa"/>
            <w:vAlign w:val="center"/>
          </w:tcPr>
          <w:p w:rsidR="00F05CED" w:rsidRPr="004E5E1D" w:rsidRDefault="00F05CED" w:rsidP="00D814AC">
            <w:pPr>
              <w:pStyle w:val="Default"/>
              <w:rPr>
                <w:rFonts w:asciiTheme="minorHAnsi" w:hAnsiTheme="minorHAnsi"/>
                <w:sz w:val="22"/>
                <w:szCs w:val="22"/>
              </w:rPr>
            </w:pPr>
            <w:r w:rsidRPr="004E5E1D">
              <w:rPr>
                <w:rFonts w:asciiTheme="minorHAnsi" w:hAnsiTheme="minorHAnsi"/>
                <w:sz w:val="22"/>
                <w:szCs w:val="22"/>
              </w:rPr>
              <w:t>4 days</w:t>
            </w:r>
          </w:p>
        </w:tc>
      </w:tr>
      <w:tr w:rsidR="00F05CED" w:rsidTr="00D814AC">
        <w:tc>
          <w:tcPr>
            <w:tcW w:w="1278" w:type="dxa"/>
          </w:tcPr>
          <w:p w:rsidR="00F05CED" w:rsidRPr="00C31B02" w:rsidRDefault="00F05CED" w:rsidP="00D814AC">
            <w:pPr>
              <w:pStyle w:val="Default"/>
              <w:jc w:val="center"/>
              <w:rPr>
                <w:rFonts w:asciiTheme="minorHAnsi" w:hAnsiTheme="minorHAnsi"/>
                <w:sz w:val="40"/>
                <w:szCs w:val="40"/>
              </w:rPr>
            </w:pPr>
            <w:r w:rsidRPr="00765728">
              <w:rPr>
                <w:rFonts w:asciiTheme="minorHAnsi" w:hAnsiTheme="minorHAnsi"/>
                <w:sz w:val="40"/>
                <w:szCs w:val="40"/>
              </w:rPr>
              <w:t>□</w:t>
            </w:r>
          </w:p>
        </w:tc>
        <w:tc>
          <w:tcPr>
            <w:tcW w:w="7830" w:type="dxa"/>
            <w:vAlign w:val="center"/>
          </w:tcPr>
          <w:p w:rsidR="00F05CED" w:rsidRPr="004E5E1D" w:rsidRDefault="00F05CED" w:rsidP="00D814AC">
            <w:pPr>
              <w:pStyle w:val="Default"/>
              <w:rPr>
                <w:rFonts w:asciiTheme="minorHAnsi" w:hAnsiTheme="minorHAnsi"/>
                <w:sz w:val="22"/>
                <w:szCs w:val="22"/>
              </w:rPr>
            </w:pPr>
            <w:r w:rsidRPr="004E5E1D">
              <w:rPr>
                <w:rFonts w:asciiTheme="minorHAnsi" w:hAnsiTheme="minorHAnsi"/>
                <w:sz w:val="22"/>
                <w:szCs w:val="22"/>
              </w:rPr>
              <w:t>5 days</w:t>
            </w:r>
          </w:p>
        </w:tc>
      </w:tr>
      <w:tr w:rsidR="00F05CED" w:rsidTr="00D814AC">
        <w:tc>
          <w:tcPr>
            <w:tcW w:w="1278" w:type="dxa"/>
          </w:tcPr>
          <w:p w:rsidR="00F05CED" w:rsidRPr="00C31B02" w:rsidRDefault="00F05CED" w:rsidP="00D814AC">
            <w:pPr>
              <w:pStyle w:val="Default"/>
              <w:jc w:val="center"/>
              <w:rPr>
                <w:rFonts w:asciiTheme="minorHAnsi" w:hAnsiTheme="minorHAnsi"/>
                <w:sz w:val="40"/>
                <w:szCs w:val="40"/>
              </w:rPr>
            </w:pPr>
            <w:r w:rsidRPr="00765728">
              <w:rPr>
                <w:rFonts w:asciiTheme="minorHAnsi" w:hAnsiTheme="minorHAnsi"/>
                <w:sz w:val="40"/>
                <w:szCs w:val="40"/>
              </w:rPr>
              <w:t>□</w:t>
            </w:r>
          </w:p>
        </w:tc>
        <w:tc>
          <w:tcPr>
            <w:tcW w:w="7830" w:type="dxa"/>
            <w:vAlign w:val="center"/>
          </w:tcPr>
          <w:p w:rsidR="00F05CED" w:rsidRPr="004E5E1D" w:rsidRDefault="00F05CED" w:rsidP="00D814AC">
            <w:pPr>
              <w:pStyle w:val="Default"/>
              <w:rPr>
                <w:rFonts w:asciiTheme="minorHAnsi" w:hAnsiTheme="minorHAnsi"/>
                <w:sz w:val="22"/>
                <w:szCs w:val="22"/>
              </w:rPr>
            </w:pPr>
            <w:r w:rsidRPr="004E5E1D">
              <w:rPr>
                <w:rFonts w:asciiTheme="minorHAnsi" w:hAnsiTheme="minorHAnsi"/>
                <w:sz w:val="22"/>
                <w:szCs w:val="22"/>
              </w:rPr>
              <w:t>6 days</w:t>
            </w:r>
          </w:p>
        </w:tc>
      </w:tr>
      <w:tr w:rsidR="00F05CED" w:rsidTr="00D814AC">
        <w:tc>
          <w:tcPr>
            <w:tcW w:w="1278" w:type="dxa"/>
          </w:tcPr>
          <w:p w:rsidR="00F05CED" w:rsidRPr="00C31B02" w:rsidRDefault="00F05CED" w:rsidP="00D814AC">
            <w:pPr>
              <w:pStyle w:val="Default"/>
              <w:jc w:val="center"/>
              <w:rPr>
                <w:rFonts w:asciiTheme="minorHAnsi" w:hAnsiTheme="minorHAnsi"/>
                <w:sz w:val="40"/>
                <w:szCs w:val="40"/>
              </w:rPr>
            </w:pPr>
            <w:r w:rsidRPr="00765728">
              <w:rPr>
                <w:rFonts w:asciiTheme="minorHAnsi" w:hAnsiTheme="minorHAnsi"/>
                <w:sz w:val="40"/>
                <w:szCs w:val="40"/>
              </w:rPr>
              <w:t>□</w:t>
            </w:r>
          </w:p>
        </w:tc>
        <w:tc>
          <w:tcPr>
            <w:tcW w:w="7830" w:type="dxa"/>
            <w:vAlign w:val="center"/>
          </w:tcPr>
          <w:p w:rsidR="00F05CED" w:rsidRPr="004E5E1D" w:rsidRDefault="00F05CED" w:rsidP="00D814AC">
            <w:pPr>
              <w:pStyle w:val="Default"/>
              <w:rPr>
                <w:rFonts w:asciiTheme="minorHAnsi" w:hAnsiTheme="minorHAnsi"/>
                <w:sz w:val="22"/>
                <w:szCs w:val="22"/>
              </w:rPr>
            </w:pPr>
            <w:r w:rsidRPr="004E5E1D">
              <w:rPr>
                <w:rFonts w:asciiTheme="minorHAnsi" w:hAnsiTheme="minorHAnsi"/>
                <w:sz w:val="22"/>
                <w:szCs w:val="22"/>
              </w:rPr>
              <w:t>7 days</w:t>
            </w:r>
          </w:p>
        </w:tc>
      </w:tr>
    </w:tbl>
    <w:p w:rsidR="00F05CED" w:rsidRDefault="00F05CED" w:rsidP="00F05CED">
      <w:pPr>
        <w:rPr>
          <w:sz w:val="24"/>
          <w:szCs w:val="24"/>
        </w:rPr>
      </w:pPr>
    </w:p>
    <w:p w:rsidR="00F05CED" w:rsidRDefault="00F05CED" w:rsidP="00F05CED">
      <w:pPr>
        <w:rPr>
          <w:sz w:val="24"/>
          <w:szCs w:val="24"/>
        </w:rPr>
      </w:pPr>
    </w:p>
    <w:p w:rsidR="00F05CED" w:rsidRDefault="00F05CED" w:rsidP="00F05CED">
      <w:pPr>
        <w:rPr>
          <w:sz w:val="24"/>
          <w:szCs w:val="24"/>
        </w:rPr>
      </w:pPr>
      <w:r>
        <w:rPr>
          <w:sz w:val="24"/>
          <w:szCs w:val="24"/>
        </w:rPr>
        <w:t xml:space="preserve">Additional information on the YRBS can be found </w:t>
      </w:r>
      <w:hyperlink r:id="rId6" w:history="1">
        <w:r w:rsidRPr="004D4FF0">
          <w:rPr>
            <w:rStyle w:val="Hyperlink"/>
            <w:sz w:val="24"/>
            <w:szCs w:val="24"/>
          </w:rPr>
          <w:t>here</w:t>
        </w:r>
      </w:hyperlink>
      <w:r>
        <w:rPr>
          <w:sz w:val="24"/>
          <w:szCs w:val="24"/>
        </w:rPr>
        <w:t xml:space="preserve">.  </w:t>
      </w:r>
    </w:p>
    <w:p w:rsidR="00556C1B" w:rsidRPr="00F05CED" w:rsidRDefault="00F05CED" w:rsidP="00F05CED"/>
    <w:sectPr w:rsidR="00556C1B" w:rsidRPr="00F05CED" w:rsidSect="0095066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0BC" w:rsidRDefault="007610BC" w:rsidP="007610BC">
      <w:pPr>
        <w:spacing w:line="240" w:lineRule="auto"/>
      </w:pPr>
      <w:r>
        <w:separator/>
      </w:r>
    </w:p>
  </w:endnote>
  <w:endnote w:type="continuationSeparator" w:id="0">
    <w:p w:rsidR="007610BC" w:rsidRDefault="007610BC" w:rsidP="007610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0BC" w:rsidRDefault="007610BC" w:rsidP="007610BC">
      <w:pPr>
        <w:spacing w:line="240" w:lineRule="auto"/>
      </w:pPr>
      <w:r>
        <w:separator/>
      </w:r>
    </w:p>
  </w:footnote>
  <w:footnote w:type="continuationSeparator" w:id="0">
    <w:p w:rsidR="007610BC" w:rsidRDefault="007610BC" w:rsidP="007610B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0BC" w:rsidRDefault="007610BC" w:rsidP="007610BC">
    <w:pPr>
      <w:jc w:val="center"/>
    </w:pPr>
    <w:r>
      <w:t xml:space="preserve">National Mentoring Resource Center (NMRC) </w:t>
    </w:r>
  </w:p>
  <w:p w:rsidR="007610BC" w:rsidRDefault="007610BC" w:rsidP="007610BC">
    <w:pPr>
      <w:jc w:val="center"/>
    </w:pPr>
    <w:r>
      <w:t>Measurement Guidance Toolkit</w:t>
    </w:r>
  </w:p>
  <w:p w:rsidR="007610BC" w:rsidRDefault="007610BC" w:rsidP="007610BC">
    <w:pPr>
      <w:jc w:val="center"/>
    </w:pPr>
    <w:r>
      <w:t>Ready-to-Use Measures</w:t>
    </w:r>
  </w:p>
  <w:p w:rsidR="007610BC" w:rsidRDefault="007610BC">
    <w:pPr>
      <w:pStyle w:val="Header"/>
    </w:pPr>
  </w:p>
  <w:p w:rsidR="007610BC" w:rsidRDefault="007610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footnotePr>
    <w:footnote w:id="-1"/>
    <w:footnote w:id="0"/>
  </w:footnotePr>
  <w:endnotePr>
    <w:endnote w:id="-1"/>
    <w:endnote w:id="0"/>
  </w:endnotePr>
  <w:compat/>
  <w:rsids>
    <w:rsidRoot w:val="007610BC"/>
    <w:rsid w:val="000B5F07"/>
    <w:rsid w:val="0013506B"/>
    <w:rsid w:val="001B470B"/>
    <w:rsid w:val="002C29B4"/>
    <w:rsid w:val="004F2DA6"/>
    <w:rsid w:val="0058251C"/>
    <w:rsid w:val="006F1DAF"/>
    <w:rsid w:val="007610BC"/>
    <w:rsid w:val="0095066F"/>
    <w:rsid w:val="00B84394"/>
    <w:rsid w:val="00ED5021"/>
    <w:rsid w:val="00F05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B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0BC"/>
    <w:pPr>
      <w:tabs>
        <w:tab w:val="center" w:pos="4680"/>
        <w:tab w:val="right" w:pos="9360"/>
      </w:tabs>
      <w:spacing w:line="240" w:lineRule="auto"/>
    </w:pPr>
  </w:style>
  <w:style w:type="character" w:customStyle="1" w:styleId="HeaderChar">
    <w:name w:val="Header Char"/>
    <w:basedOn w:val="DefaultParagraphFont"/>
    <w:link w:val="Header"/>
    <w:uiPriority w:val="99"/>
    <w:rsid w:val="007610BC"/>
  </w:style>
  <w:style w:type="paragraph" w:styleId="Footer">
    <w:name w:val="footer"/>
    <w:basedOn w:val="Normal"/>
    <w:link w:val="FooterChar"/>
    <w:uiPriority w:val="99"/>
    <w:semiHidden/>
    <w:unhideWhenUsed/>
    <w:rsid w:val="007610B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10BC"/>
  </w:style>
  <w:style w:type="paragraph" w:styleId="BalloonText">
    <w:name w:val="Balloon Text"/>
    <w:basedOn w:val="Normal"/>
    <w:link w:val="BalloonTextChar"/>
    <w:uiPriority w:val="99"/>
    <w:semiHidden/>
    <w:unhideWhenUsed/>
    <w:rsid w:val="007610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0BC"/>
    <w:rPr>
      <w:rFonts w:ascii="Tahoma" w:hAnsi="Tahoma" w:cs="Tahoma"/>
      <w:sz w:val="16"/>
      <w:szCs w:val="16"/>
    </w:rPr>
  </w:style>
  <w:style w:type="character" w:styleId="Hyperlink">
    <w:name w:val="Hyperlink"/>
    <w:basedOn w:val="DefaultParagraphFont"/>
    <w:uiPriority w:val="99"/>
    <w:unhideWhenUsed/>
    <w:rsid w:val="002C29B4"/>
    <w:rPr>
      <w:color w:val="0000FF" w:themeColor="hyperlink"/>
      <w:u w:val="single"/>
    </w:rPr>
  </w:style>
  <w:style w:type="table" w:styleId="TableGrid">
    <w:name w:val="Table Grid"/>
    <w:basedOn w:val="TableNormal"/>
    <w:uiPriority w:val="59"/>
    <w:rsid w:val="002C2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29B4"/>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F2DA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healthyyouth/data/yrbs/index.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507</Characters>
  <Application>Microsoft Office Word</Application>
  <DocSecurity>0</DocSecurity>
  <Lines>4</Lines>
  <Paragraphs>1</Paragraphs>
  <ScaleCrop>false</ScaleCrop>
  <Company>UIC</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Fasika Alem</dc:creator>
  <cp:lastModifiedBy>Fasika Alem</cp:lastModifiedBy>
  <cp:revision>2</cp:revision>
  <dcterms:created xsi:type="dcterms:W3CDTF">2016-08-23T21:18:00Z</dcterms:created>
  <dcterms:modified xsi:type="dcterms:W3CDTF">2016-08-23T21:18:00Z</dcterms:modified>
</cp:coreProperties>
</file>